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lef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Прокуратурой г. Буйнакска защищены жилищные права </w:t>
      </w:r>
    </w:p>
    <w:p w14:paraId="02000000">
      <w:pPr>
        <w:spacing w:after="0" w:line="240" w:lineRule="auto"/>
        <w:ind w:firstLine="709" w:left="0"/>
        <w:jc w:val="left"/>
        <w:rPr>
          <w:rFonts w:ascii="Times New Roman" w:hAnsi="Times New Roman"/>
          <w:b w:val="1"/>
          <w:sz w:val="28"/>
        </w:rPr>
      </w:pPr>
    </w:p>
    <w:p w14:paraId="0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Прокуратурой г. Буйнакска рассмотрен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обращени</w:t>
      </w:r>
      <w:r>
        <w:rPr>
          <w:rFonts w:ascii="Times New Roman" w:hAnsi="Times New Roman"/>
          <w:sz w:val="28"/>
        </w:rPr>
        <w:t>я граждан</w:t>
      </w:r>
      <w:r>
        <w:rPr>
          <w:rFonts w:ascii="Times New Roman" w:hAnsi="Times New Roman"/>
          <w:sz w:val="28"/>
        </w:rPr>
        <w:t xml:space="preserve"> </w:t>
      </w:r>
      <w:r>
        <w:br/>
      </w:r>
      <w:r>
        <w:rPr>
          <w:rFonts w:ascii="Times New Roman" w:hAnsi="Times New Roman"/>
          <w:sz w:val="28"/>
        </w:rPr>
        <w:t xml:space="preserve">о непринятии </w:t>
      </w:r>
      <w:r>
        <w:rPr>
          <w:rFonts w:ascii="Times New Roman" w:hAnsi="Times New Roman"/>
          <w:sz w:val="28"/>
        </w:rPr>
        <w:t xml:space="preserve">органами местного самоуправления </w:t>
      </w:r>
      <w:r>
        <w:rPr>
          <w:rFonts w:ascii="Times New Roman" w:hAnsi="Times New Roman"/>
          <w:sz w:val="28"/>
        </w:rPr>
        <w:t>мер по обеспечению жилыми помещениями, вставших на учет как ветераны боевых действий</w:t>
      </w:r>
      <w:r>
        <w:rPr>
          <w:rFonts w:ascii="Times New Roman" w:hAnsi="Times New Roman"/>
          <w:sz w:val="28"/>
        </w:rPr>
        <w:t>.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Проверкой установлено, что решением Буйнакского районного суда </w:t>
      </w:r>
      <w:r>
        <w:rPr>
          <w:rFonts w:ascii="Times New Roman" w:hAnsi="Times New Roman"/>
          <w:sz w:val="28"/>
        </w:rPr>
        <w:t xml:space="preserve">удовлетворено </w:t>
      </w:r>
      <w:r>
        <w:rPr>
          <w:rFonts w:ascii="Times New Roman" w:hAnsi="Times New Roman"/>
          <w:sz w:val="28"/>
        </w:rPr>
        <w:t xml:space="preserve">исковое заявление двух жителей с. Нижний Дженгутай Буйнакского района </w:t>
      </w:r>
      <w:r>
        <w:rPr>
          <w:rFonts w:ascii="Times New Roman" w:hAnsi="Times New Roman"/>
          <w:sz w:val="28"/>
        </w:rPr>
        <w:t>об обязании</w:t>
      </w:r>
      <w:r>
        <w:rPr>
          <w:rFonts w:ascii="Times New Roman" w:hAnsi="Times New Roman"/>
          <w:sz w:val="28"/>
        </w:rPr>
        <w:t xml:space="preserve"> администрацию МО «село Нижний </w:t>
      </w:r>
      <w:r>
        <w:rPr>
          <w:rFonts w:ascii="Times New Roman" w:hAnsi="Times New Roman"/>
          <w:sz w:val="28"/>
        </w:rPr>
        <w:t>Дженгутай</w:t>
      </w:r>
      <w:r>
        <w:rPr>
          <w:rFonts w:ascii="Times New Roman" w:hAnsi="Times New Roman"/>
          <w:sz w:val="28"/>
        </w:rPr>
        <w:t>» в восстановлении в списках лиц, имеющих право на обеспечение жилыми помещениями за счет средств федерального бюджета как участники боевых действий.</w:t>
      </w:r>
    </w:p>
    <w:p w14:paraId="0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Во исполнение вышеуказанного решения суда постановлением главы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села указанные граждане</w:t>
      </w:r>
      <w:r>
        <w:rPr>
          <w:rFonts w:ascii="Times New Roman" w:hAnsi="Times New Roman"/>
          <w:sz w:val="28"/>
        </w:rPr>
        <w:t xml:space="preserve"> восстановлены в списках </w:t>
      </w:r>
      <w:r>
        <w:rPr>
          <w:rFonts w:ascii="Times New Roman" w:hAnsi="Times New Roman"/>
          <w:sz w:val="28"/>
        </w:rPr>
        <w:t>лиц, имеющих право на обеспечение жилыми помещениями</w:t>
      </w:r>
      <w:r>
        <w:rPr>
          <w:rFonts w:ascii="Times New Roman" w:hAnsi="Times New Roman"/>
          <w:sz w:val="28"/>
        </w:rPr>
        <w:t>, вставших 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учет до 01.01.2005.</w:t>
      </w:r>
    </w:p>
    <w:p w14:paraId="06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Однако, органами местного самоуправления </w:t>
      </w:r>
      <w:r>
        <w:rPr>
          <w:rFonts w:ascii="Times New Roman" w:hAnsi="Times New Roman"/>
          <w:sz w:val="28"/>
        </w:rPr>
        <w:t xml:space="preserve">в нарушении требований </w:t>
      </w:r>
      <w:r>
        <w:br/>
      </w:r>
      <w:r>
        <w:rPr>
          <w:rFonts w:ascii="Times New Roman" w:hAnsi="Times New Roman"/>
          <w:sz w:val="28"/>
        </w:rPr>
        <w:t xml:space="preserve">п. 2 Порядка предоставления безвозмездной субсидии на приобретение жилья нуждающимся в улучшении жилищных условий и вставшим на учет инвалидам Великой Отечественной войны и участникам Великой Отечественной войны, членам семей погибших (умерших) инвалидов Великой Отечественной войны и участников Великой Отечественной войны и нуждающимся в улучшении жилищных условий и вставшим на учет до 1 января 2005 года инвалидам боевых действий и ветеранам боевых действий, членам семей погибших (умерших) инвалидов боевых действий и ветеранов боевых действий, инвалидам и семьям, имеющим детей-инвалидов, утвержденного постановлением Правительства Республики Дагестан от 25.12.2007 № 348 </w:t>
      </w:r>
      <w:r>
        <w:br/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учетные дела не были сформированы и не включены в сводный список лиц, имеющих право на обеспечение жилыми помещениями</w:t>
      </w:r>
      <w:r>
        <w:rPr>
          <w:rFonts w:ascii="Times New Roman" w:hAnsi="Times New Roman"/>
          <w:sz w:val="28"/>
        </w:rPr>
        <w:t xml:space="preserve"> для дальнейшего представления в Министерство труда и социального развития Республики Дагестан.</w:t>
      </w:r>
    </w:p>
    <w:p w14:paraId="07000000">
      <w:pPr>
        <w:tabs>
          <w:tab w:leader="none" w:pos="709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связи с этим, прокуратурой города и.о. </w:t>
      </w:r>
      <w:r>
        <w:rPr>
          <w:rFonts w:ascii="Times New Roman" w:hAnsi="Times New Roman"/>
          <w:sz w:val="28"/>
        </w:rPr>
        <w:t xml:space="preserve">главы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МР «Буйнакский район» внесено представление об устранении нарушений </w:t>
      </w:r>
      <w:r>
        <w:rPr>
          <w:rFonts w:ascii="Times New Roman" w:hAnsi="Times New Roman"/>
          <w:sz w:val="28"/>
        </w:rPr>
        <w:t xml:space="preserve">жилищного законодательства, по результатам рассмотрения </w:t>
      </w:r>
      <w:r>
        <w:rPr>
          <w:rFonts w:ascii="Times New Roman" w:hAnsi="Times New Roman"/>
          <w:color w:val="000000"/>
          <w:sz w:val="28"/>
          <w:highlight w:val="white"/>
        </w:rPr>
        <w:t xml:space="preserve">которого учетные дела сформированы и направлены </w:t>
      </w:r>
      <w:r>
        <w:rPr>
          <w:rFonts w:ascii="Times New Roman" w:hAnsi="Times New Roman"/>
          <w:sz w:val="28"/>
        </w:rPr>
        <w:t>в Министерство труда и социального развития Республики Дагестан, а также виновное должностное лицо привлечено к дисциплинарной ответственности.</w:t>
      </w:r>
    </w:p>
    <w:p w14:paraId="08000000">
      <w:pPr>
        <w:tabs>
          <w:tab w:leader="none" w:pos="709" w:val="left"/>
        </w:tabs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 xml:space="preserve"> </w:t>
      </w:r>
    </w:p>
    <w:p w14:paraId="09000000">
      <w:pPr>
        <w:tabs>
          <w:tab w:leader="none" w:pos="709" w:val="left"/>
        </w:tabs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  <w:highlight w:val="white"/>
        </w:rPr>
      </w:pPr>
    </w:p>
    <w:p w14:paraId="0A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</w:t>
      </w:r>
    </w:p>
    <w:p w14:paraId="0B000000">
      <w:pPr>
        <w:spacing w:after="0" w:line="240" w:lineRule="auto"/>
        <w:ind/>
        <w:rPr>
          <w:sz w:val="28"/>
        </w:rPr>
      </w:pPr>
      <w:r>
        <w:rPr>
          <w:rFonts w:ascii="Times New Roman" w:hAnsi="Times New Roman"/>
          <w:sz w:val="28"/>
        </w:rPr>
        <w:t xml:space="preserve">прокурора г. Буйнакска                                                               </w:t>
      </w: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 xml:space="preserve">      К.З. Девлетов</w:t>
      </w:r>
    </w:p>
    <w:p w14:paraId="0C000000">
      <w:pPr>
        <w:rPr>
          <w:sz w:val="28"/>
        </w:rPr>
      </w:pPr>
    </w:p>
    <w:sectPr>
      <w:pgSz w:h="16838" w:orient="portrait" w:w="11906"/>
      <w:pgMar w:bottom="1134" w:footer="708" w:gutter="0" w:header="708" w:left="1418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200" w:line="276" w:lineRule="auto"/>
      <w:ind/>
    </w:pPr>
    <w:rPr>
      <w:rFonts w:ascii="Calibri" w:hAnsi="Calibri"/>
    </w:rPr>
  </w:style>
  <w:style w:default="1" w:styleId="Style_1_ch" w:type="character">
    <w:name w:val="Normal"/>
    <w:link w:val="Style_1"/>
    <w:rPr>
      <w:rFonts w:ascii="Calibri" w:hAnsi="Calibri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2025-11-06T12:52:44Z</dcterms:modified>
</cp:coreProperties>
</file>